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color w:val="000000"/>
          <w:sz w:val="24"/>
          <w:b/>
          <w:szCs w:val="24"/>
          <w:bCs/>
          <w:rFonts w:ascii="Book Antiqua" w:cs="Arial" w:hAnsi="Book Antiqua"/>
        </w:rPr>
        <w:t>DÉLEGYHÁZA KÖZSÉG ÖNKORMÁNYZATA</w:t>
      </w:r>
    </w:p>
    <w:p>
      <w:pPr>
        <w:pStyle w:val="style1"/>
        <w:tabs>
          <w:tab w:leader="none" w:pos="0" w:val="left"/>
        </w:tabs>
      </w:pPr>
      <w:r>
        <w:rPr>
          <w:color w:val="000000"/>
          <w:rFonts w:ascii="Book Antiqua" w:hAnsi="Book Antiqua"/>
        </w:rPr>
        <w:t>Képviselő-testületének</w:t>
      </w:r>
    </w:p>
    <w:p>
      <w:pPr>
        <w:pStyle w:val="style0"/>
        <w:jc w:val="center"/>
      </w:pPr>
      <w:r>
        <w:rPr>
          <w:color w:val="000000"/>
          <w:sz w:val="24"/>
          <w:b/>
          <w:szCs w:val="24"/>
          <w:bCs/>
          <w:rFonts w:ascii="Book Antiqua" w:cs="Arial" w:hAnsi="Book Antiqua"/>
        </w:rPr>
        <w:t xml:space="preserve">/2012 (…..…) önkormányzati rendelete </w:t>
      </w:r>
    </w:p>
    <w:p>
      <w:pPr>
        <w:pStyle w:val="style0"/>
        <w:jc w:val="center"/>
      </w:pPr>
      <w:r>
        <w:rPr>
          <w:color w:val="000000"/>
          <w:sz w:val="24"/>
          <w:b/>
          <w:szCs w:val="24"/>
          <w:bCs/>
          <w:rFonts w:ascii="Book Antiqua" w:cs="Arial" w:hAnsi="Book Antiqua"/>
        </w:rPr>
      </w:r>
    </w:p>
    <w:p>
      <w:pPr>
        <w:pStyle w:val="style0"/>
        <w:jc w:val="center"/>
      </w:pPr>
      <w:r>
        <w:rPr>
          <w:color w:val="000000"/>
          <w:sz w:val="24"/>
          <w:b/>
          <w:szCs w:val="24"/>
          <w:bCs/>
          <w:rFonts w:ascii="Book Antiqua" w:cs="Arial" w:hAnsi="Book Antiqua"/>
        </w:rPr>
        <w:t xml:space="preserve"> </w:t>
      </w:r>
      <w:r>
        <w:rPr>
          <w:color w:val="000000"/>
          <w:sz w:val="24"/>
          <w:b/>
          <w:szCs w:val="24"/>
          <w:bCs/>
          <w:rFonts w:ascii="Book Antiqua" w:cs="Arial" w:hAnsi="Book Antiqua"/>
        </w:rPr>
        <w:t xml:space="preserve">Délegyháza Község Önkormányzata 2011.évi Költségvetéséről szóló 12/2011.(II.16.) önkormányzati rendelet </w:t>
      </w:r>
    </w:p>
    <w:p>
      <w:pPr>
        <w:pStyle w:val="style0"/>
        <w:jc w:val="center"/>
      </w:pPr>
      <w:r>
        <w:rPr>
          <w:color w:val="000000"/>
          <w:sz w:val="24"/>
          <w:b/>
          <w:szCs w:val="24"/>
          <w:bCs/>
          <w:rFonts w:ascii="Book Antiqua" w:cs="Arial" w:hAnsi="Book Antiqua"/>
        </w:rPr>
        <w:t>5. sz. módosításáról</w:t>
      </w:r>
    </w:p>
    <w:p>
      <w:pPr>
        <w:pStyle w:val="style0"/>
        <w:jc w:val="center"/>
      </w:pPr>
      <w:r>
        <w:rPr>
          <w:color w:val="000000"/>
          <w:b/>
          <w:bCs/>
          <w:rFonts w:ascii="Book Antiqua" w:cs="Arial" w:hAnsi="Book Antiqua"/>
        </w:rPr>
      </w:r>
    </w:p>
    <w:p>
      <w:pPr>
        <w:pStyle w:val="style0"/>
        <w:jc w:val="both"/>
      </w:pPr>
      <w:r>
        <w:rPr>
          <w:sz w:val="24"/>
          <w:szCs w:val="24"/>
          <w:rFonts w:ascii="Book Antiqua" w:cs="Arial" w:hAnsi="Book Antiqua"/>
        </w:rPr>
        <w:t>Délegyháza Község Önkormányzatának Képviselő-testülete az Államháztartásról szóló 2011 évi CXCV. törvény 34. § (1) bekezdésében kapott felhatalmazás alapján a helyi Önkormányzatokról szóló 1990.évi LXV. törvény 91. § (1) bekezdésében meghatározott feladatkörben eljárva az Önkormányzat 2011.évi költségvetésről szóló 12/2011. (II.16.) önkormányzati rendelete módosításáról a következőket rendeli el:</w:t>
      </w:r>
    </w:p>
    <w:p>
      <w:pPr>
        <w:pStyle w:val="style0"/>
      </w:pPr>
      <w:r>
        <w:rPr>
          <w:b/>
          <w:bCs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  <w:t xml:space="preserve">                                                                      </w:t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  <w:t>1.§</w:t>
      </w:r>
      <w:r>
        <w:rPr>
          <w:color w:val="000000"/>
          <w:rFonts w:ascii="Book Antiqua" w:cs="Arial" w:hAnsi="Book Antiqua"/>
        </w:rPr>
        <w:t xml:space="preserve"> Az Önkormányzat 2011. évi költségvetéséről szóló 12/2011. (II.16.) önkormányzati rendelet </w:t>
      </w:r>
      <w:r>
        <w:rPr>
          <w:color w:val="000000"/>
          <w:b/>
          <w:rFonts w:ascii="Book Antiqua" w:cs="Arial" w:hAnsi="Book Antiqua"/>
        </w:rPr>
        <w:t xml:space="preserve">3 § (1) bekezdésének </w:t>
      </w:r>
      <w:r>
        <w:rPr>
          <w:color w:val="000000"/>
          <w:rFonts w:ascii="Book Antiqua" w:cs="Arial" w:hAnsi="Book Antiqua"/>
        </w:rPr>
        <w:t>helyébe az alábbi rendelkezések lépnek:</w:t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>„</w:t>
      </w:r>
      <w:r>
        <w:rPr>
          <w:color w:val="000000"/>
          <w:rFonts w:ascii="Book Antiqua" w:cs="Arial" w:hAnsi="Book Antiqua"/>
        </w:rPr>
        <w:t xml:space="preserve">3.§ (1) Az önkormányzat 2011.évi költségvetésének </w:t>
      </w:r>
    </w:p>
    <w:p>
      <w:pPr>
        <w:pStyle w:val="style22"/>
        <w:ind w:hanging="0" w:left="0" w:right="0"/>
      </w:pPr>
      <w:r>
        <w:rPr>
          <w:color w:val="000000"/>
          <w:sz w:val="20"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0"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  <w:t xml:space="preserve">                        </w:t>
      </w:r>
      <w:r>
        <w:rPr>
          <w:color w:val="000000"/>
          <w:rFonts w:ascii="Book Antiqua" w:cs="Arial" w:hAnsi="Book Antiqua"/>
        </w:rPr>
        <w:t xml:space="preserve">módosított  kiadási  főösszegét   </w:t>
      </w:r>
      <w:r>
        <w:rPr>
          <w:color w:val="000000"/>
          <w:b/>
          <w:rFonts w:ascii="Book Antiqua" w:cs="Arial" w:hAnsi="Book Antiqua"/>
        </w:rPr>
        <w:t>45 779</w:t>
      </w:r>
      <w:r>
        <w:rPr>
          <w:color w:val="000000"/>
          <w:rFonts w:ascii="Book Antiqua" w:cs="Arial" w:hAnsi="Book Antiqua"/>
        </w:rPr>
        <w:t xml:space="preserve">    e Ft-tal</w:t>
      </w:r>
    </w:p>
    <w:p>
      <w:pPr>
        <w:pStyle w:val="style22"/>
        <w:ind w:hanging="0" w:left="0" w:right="0"/>
      </w:pPr>
      <w:r>
        <w:rPr>
          <w:color w:val="000000"/>
          <w:sz w:val="20"/>
          <w:szCs w:val="20"/>
          <w:rFonts w:ascii="Book Antiqua" w:cs="Arial" w:hAnsi="Book Antiqua"/>
        </w:rPr>
        <w:t xml:space="preserve">                             </w:t>
      </w:r>
      <w:r>
        <w:rPr>
          <w:color w:val="000000"/>
          <w:rFonts w:ascii="Book Antiqua" w:cs="Arial" w:hAnsi="Book Antiqua"/>
        </w:rPr>
        <w:t xml:space="preserve">módosított  bevételi főösszegét   </w:t>
      </w:r>
      <w:r>
        <w:rPr>
          <w:color w:val="000000"/>
          <w:sz w:val="22"/>
          <w:b/>
          <w:szCs w:val="22"/>
          <w:rFonts w:ascii="Book Antiqua" w:cs="Arial" w:hAnsi="Book Antiqua"/>
        </w:rPr>
        <w:t>45 779</w:t>
      </w:r>
      <w:r>
        <w:rPr>
          <w:color w:val="000000"/>
          <w:rFonts w:ascii="Book Antiqua" w:cs="Arial" w:hAnsi="Book Antiqua"/>
        </w:rPr>
        <w:t xml:space="preserve">    e Ft -tal</w:t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 xml:space="preserve"> </w:t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 xml:space="preserve">emeli meg   </w:t>
      </w:r>
      <w:r>
        <w:rPr>
          <w:color w:val="000000"/>
          <w:sz w:val="22"/>
          <w:szCs w:val="22"/>
          <w:rFonts w:ascii="Book Antiqua" w:cs="Arial" w:hAnsi="Book Antiqua"/>
        </w:rPr>
        <w:t xml:space="preserve">a  Képviselő testület, az önkormányzat 2011.évi </w:t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  <w:t xml:space="preserve">                        </w:t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  <w:t xml:space="preserve">                        </w:t>
      </w:r>
      <w:r>
        <w:rPr>
          <w:color w:val="000000"/>
          <w:sz w:val="22"/>
          <w:szCs w:val="22"/>
          <w:rFonts w:ascii="Book Antiqua" w:cs="Arial" w:hAnsi="Book Antiqua"/>
        </w:rPr>
        <w:t xml:space="preserve">módosított kiadási </w:t>
      </w:r>
      <w:r>
        <w:rPr>
          <w:color w:val="000000"/>
          <w:rFonts w:ascii="Book Antiqua" w:cs="Arial" w:hAnsi="Book Antiqua"/>
        </w:rPr>
        <w:t xml:space="preserve">főösszegét            </w:t>
      </w:r>
      <w:r>
        <w:rPr>
          <w:color w:val="000000"/>
          <w:b/>
          <w:rFonts w:ascii="Book Antiqua" w:cs="Arial" w:hAnsi="Book Antiqua"/>
        </w:rPr>
        <w:t>659 179</w:t>
      </w:r>
      <w:r>
        <w:rPr>
          <w:color w:val="000000"/>
          <w:rFonts w:ascii="Book Antiqua" w:cs="Arial" w:hAnsi="Book Antiqua"/>
        </w:rPr>
        <w:t xml:space="preserve"> e Ft-ban</w:t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 xml:space="preserve">                        </w:t>
      </w:r>
      <w:r>
        <w:rPr>
          <w:color w:val="000000"/>
          <w:rFonts w:ascii="Book Antiqua" w:cs="Arial" w:hAnsi="Book Antiqua"/>
        </w:rPr>
        <w:t>módosított bevételi főösszegét</w:t>
      </w:r>
      <w:r>
        <w:rPr>
          <w:color w:val="000000"/>
          <w:sz w:val="22"/>
          <w:szCs w:val="22"/>
          <w:rFonts w:ascii="Book Antiqua" w:cs="Arial" w:hAnsi="Book Antiqua"/>
        </w:rPr>
        <w:t xml:space="preserve">        </w:t>
      </w:r>
      <w:r>
        <w:rPr>
          <w:color w:val="000000"/>
          <w:sz w:val="22"/>
          <w:b/>
          <w:szCs w:val="22"/>
          <w:rFonts w:ascii="Book Antiqua" w:cs="Arial" w:hAnsi="Book Antiqua"/>
        </w:rPr>
        <w:t>659 179</w:t>
      </w:r>
      <w:r>
        <w:rPr>
          <w:color w:val="000000"/>
          <w:sz w:val="22"/>
          <w:szCs w:val="22"/>
          <w:rFonts w:ascii="Book Antiqua" w:cs="Arial" w:hAnsi="Book Antiqua"/>
        </w:rPr>
        <w:t xml:space="preserve"> e Ft-ban</w:t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  <w:t>állapítja meg:</w:t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  <w:t xml:space="preserve">Ebből: Polgármesteri Hivatal módosított bevételi és kiadási főösszege: </w:t>
      </w:r>
    </w:p>
    <w:p>
      <w:pPr>
        <w:pStyle w:val="style22"/>
        <w:ind w:hanging="0" w:left="0" w:right="0"/>
      </w:pPr>
      <w:r>
        <w:rPr>
          <w:color w:val="000000"/>
          <w:sz w:val="22"/>
          <w:szCs w:val="22"/>
          <w:rFonts w:ascii="Book Antiqua" w:cs="Arial" w:hAnsi="Book Antiqua"/>
        </w:rPr>
        <w:t xml:space="preserve">                                                                                   </w:t>
      </w:r>
      <w:r>
        <w:rPr>
          <w:color w:val="000000"/>
          <w:sz w:val="22"/>
          <w:b/>
          <w:szCs w:val="22"/>
          <w:rFonts w:ascii="Book Antiqua" w:cs="Arial" w:hAnsi="Book Antiqua"/>
        </w:rPr>
        <w:t>569 361</w:t>
      </w:r>
      <w:r>
        <w:rPr>
          <w:color w:val="000000"/>
          <w:sz w:val="22"/>
          <w:szCs w:val="22"/>
          <w:rFonts w:ascii="Book Antiqua" w:cs="Arial" w:hAnsi="Book Antiqua"/>
        </w:rPr>
        <w:t xml:space="preserve"> e Ft</w:t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 xml:space="preserve">Hunyadi János Általános Iskola módosított bevételi és kiadási főösszege: </w:t>
      </w:r>
    </w:p>
    <w:p>
      <w:pPr>
        <w:pStyle w:val="style22"/>
        <w:ind w:hanging="0" w:left="0" w:right="0"/>
      </w:pPr>
      <w:r>
        <w:rPr>
          <w:color w:val="000000"/>
          <w:sz w:val="22"/>
          <w:b/>
          <w:szCs w:val="22"/>
          <w:rFonts w:ascii="Book Antiqua" w:cs="Arial" w:hAnsi="Book Antiqua"/>
        </w:rPr>
        <w:t xml:space="preserve">                                                                                      </w:t>
      </w:r>
      <w:r>
        <w:rPr>
          <w:color w:val="000000"/>
          <w:sz w:val="22"/>
          <w:b/>
          <w:szCs w:val="22"/>
          <w:rFonts w:ascii="Book Antiqua" w:cs="Arial" w:hAnsi="Book Antiqua"/>
        </w:rPr>
        <w:t>89 818</w:t>
      </w:r>
      <w:r>
        <w:rPr>
          <w:color w:val="000000"/>
          <w:sz w:val="22"/>
          <w:szCs w:val="22"/>
          <w:rFonts w:ascii="Book Antiqua" w:cs="Arial" w:hAnsi="Book Antiqua"/>
        </w:rPr>
        <w:t xml:space="preserve"> e Ft                                                    </w:t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b/>
          <w:rFonts w:ascii="Book Antiqua" w:cs="Arial" w:hAnsi="Book Antiqua"/>
        </w:rPr>
        <w:t xml:space="preserve">                                                          </w:t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  <w:t xml:space="preserve">2. § (1)  </w:t>
      </w:r>
      <w:r>
        <w:rPr>
          <w:color w:val="000000"/>
          <w:rFonts w:ascii="Book Antiqua" w:cs="Arial" w:hAnsi="Book Antiqua"/>
        </w:rPr>
        <w:t>Az Önkormányzat 2011. évi költségvetéséről szóló 12/2011. (II.16.) önkormányzati rendelet</w:t>
      </w:r>
      <w:r>
        <w:rPr>
          <w:color w:val="000000"/>
          <w:sz w:val="20"/>
          <w:b/>
          <w:szCs w:val="20"/>
          <w:rFonts w:ascii="Book Antiqua" w:cs="Arial" w:hAnsi="Book Antiqua"/>
        </w:rPr>
        <w:t xml:space="preserve"> 18 a számú mellékletének helyébe jelen rendelet 1. számú mellékletei lépnek</w:t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 xml:space="preserve">(2) Az Önkormányzat 2011. évi költségvetéséről szóló 12/2011. (II.16.) önkormányzati rendelet </w:t>
      </w:r>
      <w:r>
        <w:rPr>
          <w:color w:val="000000"/>
          <w:sz w:val="20"/>
          <w:b/>
          <w:szCs w:val="20"/>
          <w:rFonts w:ascii="Book Antiqua" w:cs="Arial" w:hAnsi="Book Antiqua"/>
        </w:rPr>
        <w:t>18 b számú mellékletének helyébe jelen rendelet 2. számú mellékletei lépnek</w:t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>(3) Az Önkormányzat 2011. évi költségvetéséről szóló 12/2011. (II.16.) önkormányzati rendelet</w:t>
      </w:r>
      <w:r>
        <w:rPr>
          <w:color w:val="000000"/>
          <w:sz w:val="20"/>
          <w:b/>
          <w:szCs w:val="20"/>
          <w:rFonts w:ascii="Book Antiqua" w:cs="Arial" w:hAnsi="Book Antiqua"/>
        </w:rPr>
        <w:t xml:space="preserve"> 1. számú segédletek helyébe jelen rendelet 3. számú mellékletei lépnek</w:t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rFonts w:ascii="Book Antiqua" w:cs="Arial" w:hAnsi="Book Antiqua"/>
        </w:rPr>
        <w:t xml:space="preserve">(4) Az Önkormányzat 2011. évi költségvetéséről szóló 12/2011. (II.16.) önkormányzati rendelet </w:t>
      </w:r>
      <w:r>
        <w:rPr>
          <w:color w:val="000000"/>
          <w:sz w:val="20"/>
          <w:b/>
          <w:szCs w:val="20"/>
          <w:rFonts w:ascii="Book Antiqua" w:cs="Arial" w:hAnsi="Book Antiqua"/>
        </w:rPr>
        <w:t>2. számú segédletek helyébe jelen rendelet 4. számú mellékletei lépnek</w:t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  <w:spacing w:after="120" w:before="120"/>
      </w:pPr>
      <w:r>
        <w:rPr>
          <w:color w:val="000000"/>
          <w:sz w:val="20"/>
          <w:b/>
          <w:szCs w:val="20"/>
          <w:rFonts w:ascii="Book Antiqua" w:cs="Arial" w:hAnsi="Book Antiqua"/>
        </w:rPr>
        <w:t xml:space="preserve">3.§ </w:t>
      </w:r>
      <w:r>
        <w:rPr>
          <w:color w:val="000000"/>
          <w:rFonts w:ascii="Book Antiqua" w:cs="Arial" w:hAnsi="Book Antiqua"/>
        </w:rPr>
        <w:t>Ez a rendelet kihirdetését követő napon lép hatályba.</w:t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</w:r>
    </w:p>
    <w:p>
      <w:pPr>
        <w:pStyle w:val="style22"/>
        <w:ind w:hanging="0" w:left="0" w:right="0"/>
      </w:pPr>
      <w:r>
        <w:rPr>
          <w:color w:val="000000"/>
          <w:sz w:val="20"/>
          <w:b/>
          <w:szCs w:val="20"/>
          <w:rFonts w:ascii="Book Antiqua" w:cs="Arial" w:hAnsi="Book Antiqua"/>
        </w:rPr>
        <w:t>Délegyháza, 2012.március 6.</w:t>
      </w:r>
    </w:p>
    <w:p>
      <w:pPr>
        <w:pStyle w:val="style22"/>
        <w:ind w:hanging="0" w:left="0" w:right="0"/>
      </w:pPr>
      <w:r>
        <w:rPr>
          <w:color w:val="000000"/>
          <w:sz w:val="20"/>
          <w:szCs w:val="20"/>
          <w:rFonts w:ascii="Book Antiqua" w:cs="Arial" w:hAnsi="Book Antiqua"/>
        </w:rPr>
      </w:r>
    </w:p>
    <w:p>
      <w:pPr>
        <w:pStyle w:val="style22"/>
      </w:pPr>
      <w:r>
        <w:rPr>
          <w:color w:val="000000"/>
          <w:sz w:val="20"/>
          <w:szCs w:val="20"/>
          <w:rFonts w:ascii="Book Antiqua" w:cs="Arial" w:hAnsi="Book Antiqua"/>
        </w:rPr>
      </w:r>
    </w:p>
    <w:tbl>
      <w:tblPr>
        <w:tblBorders/>
        <w:jc w:val="left"/>
        <w:tblInd w:type="dxa" w:w="-70"/>
      </w:tblPr>
      <w:tblGrid>
        <w:gridCol w:w="4605"/>
        <w:gridCol w:w="4605"/>
      </w:tblGrid>
      <w:tr>
        <w:trPr>
          <w:cantSplit w:val="off"/>
        </w:trPr>
        <w:tc>
          <w:tcPr>
            <w:tcBorders/>
            <w:shd w:fill="auto"/>
            <w:tcW w:type="dxa" w:w="4605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  <w:t>Dr. Riebl Antal</w:t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  <w:t>polgármester</w:t>
            </w:r>
          </w:p>
        </w:tc>
        <w:tc>
          <w:tcPr>
            <w:tcBorders/>
            <w:shd w:fill="auto"/>
            <w:tcW w:type="dxa" w:w="4605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  <w:t>Dr. Molnár Zsuzsanna</w:t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  <w:t xml:space="preserve">jegyző </w:t>
            </w:r>
          </w:p>
        </w:tc>
      </w:tr>
    </w:tbl>
    <w:p>
      <w:pPr>
        <w:pStyle w:val="style22"/>
        <w:ind w:firstLine="204" w:left="0" w:right="0"/>
        <w:spacing w:after="120" w:before="120"/>
      </w:pPr>
      <w:r>
        <w:rPr>
          <w:sz w:val="20"/>
          <w:b/>
          <w:szCs w:val="20"/>
          <w:rFonts w:ascii="Book Antiqua" w:hAnsi="Book Antiqua"/>
        </w:rPr>
      </w:r>
    </w:p>
    <w:p>
      <w:pPr>
        <w:pStyle w:val="style22"/>
        <w:ind w:firstLine="204" w:left="0" w:right="0"/>
        <w:spacing w:after="120" w:before="120"/>
      </w:pPr>
      <w:r>
        <w:rPr>
          <w:sz w:val="20"/>
          <w:b/>
          <w:szCs w:val="20"/>
          <w:rFonts w:ascii="Book Antiqua" w:hAnsi="Book Antiqua"/>
        </w:rPr>
      </w:r>
    </w:p>
    <w:p>
      <w:pPr>
        <w:pStyle w:val="style22"/>
        <w:ind w:hanging="0" w:left="0" w:right="0"/>
        <w:spacing w:after="120" w:before="120"/>
      </w:pPr>
      <w:r>
        <w:rPr>
          <w:color w:val="000000"/>
          <w:sz w:val="20"/>
          <w:szCs w:val="20"/>
          <w:rFonts w:ascii="Book Antiqua" w:cs="Arial" w:hAnsi="Book Antiqua"/>
        </w:rPr>
      </w:r>
    </w:p>
    <w:p>
      <w:pPr>
        <w:pStyle w:val="style22"/>
        <w:ind w:hanging="0" w:left="0" w:right="0"/>
        <w:spacing w:after="120" w:before="120"/>
      </w:pPr>
      <w:r>
        <w:rPr>
          <w:color w:val="000000"/>
          <w:sz w:val="20"/>
          <w:szCs w:val="20"/>
          <w:rFonts w:ascii="Book Antiqua" w:cs="Arial" w:hAnsi="Book Antiqua"/>
        </w:rPr>
        <w:t xml:space="preserve">A rendelet kihirdetve: </w:t>
      </w:r>
    </w:p>
    <w:tbl>
      <w:tblPr>
        <w:tblBorders/>
        <w:jc w:val="left"/>
        <w:tblInd w:type="dxa" w:w="-70"/>
      </w:tblPr>
      <w:tblGrid>
        <w:gridCol w:w="4605"/>
        <w:gridCol w:w="4605"/>
      </w:tblGrid>
      <w:tr>
        <w:trPr>
          <w:cantSplit w:val="off"/>
        </w:trPr>
        <w:tc>
          <w:tcPr>
            <w:tcBorders/>
            <w:shd w:fill="auto"/>
            <w:tcW w:type="dxa" w:w="4605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szCs w:val="20"/>
                <w:rFonts w:ascii="Book Antiqua" w:cs="Arial" w:hAnsi="Book Antiqua"/>
              </w:rPr>
            </w:r>
          </w:p>
        </w:tc>
        <w:tc>
          <w:tcPr>
            <w:tcBorders/>
            <w:shd w:fill="auto"/>
            <w:tcW w:type="dxa" w:w="4605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  <w:t>Dr. Molnár Zsuzsanna</w:t>
            </w:r>
          </w:p>
          <w:p>
            <w:pPr>
              <w:pStyle w:val="style22"/>
              <w:jc w:val="center"/>
              <w:ind w:hanging="0" w:left="0" w:right="0"/>
            </w:pPr>
            <w:r>
              <w:rPr>
                <w:color w:val="000000"/>
                <w:sz w:val="20"/>
                <w:b/>
                <w:szCs w:val="20"/>
                <w:rFonts w:ascii="Book Antiqua" w:cs="Arial" w:hAnsi="Book Antiqua"/>
              </w:rPr>
              <w:t>jegyző</w:t>
            </w:r>
          </w:p>
        </w:tc>
      </w:tr>
    </w:tbl>
    <w:p>
      <w:pPr>
        <w:pStyle w:val="style0"/>
      </w:pPr>
      <w:r>
        <w:rPr>
          <w:b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>
          <w:color w:val="000000"/>
          <w:b/>
          <w:bCs/>
          <w:rFonts w:cs="Arial"/>
        </w:rPr>
      </w:r>
    </w:p>
    <w:p>
      <w:pPr>
        <w:pStyle w:val="style0"/>
        <w:jc w:val="center"/>
      </w:pPr>
      <w:r>
        <w:rPr/>
      </w:r>
    </w:p>
    <w:sectPr>
      <w:formProt w:val="off"/>
      <w:pgSz w:h="16837" w:w="11905"/>
      <w:textDirection w:val="lrTb"/>
      <w:pgNumType w:fmt="decimal"/>
      <w:type w:val="nextPage"/>
      <w:pgMar w:bottom="1417" w:left="1417" w:right="1417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Book Antiqua">
    <w:charset w:val="ee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"/>
      <w:pPr>
        <w:ind w:hanging="360" w:left="720"/>
      </w:pPr>
    </w:lvl>
    <w:lvl w:ilvl="1">
      <w:start w:val="1"/>
      <w:numFmt w:val="decimal"/>
      <w:lvlJc w:val="left"/>
      <w:lvlText w:val="%2"/>
      <w:pPr>
        <w:ind w:hanging="360" w:left="1080"/>
      </w:pPr>
    </w:lvl>
    <w:lvl w:ilvl="2">
      <w:start w:val="1"/>
      <w:numFmt w:val="decimal"/>
      <w:lvlJc w:val="left"/>
      <w:lvlText w:val="%3"/>
      <w:pPr>
        <w:ind w:hanging="360" w:left="1440"/>
      </w:pPr>
    </w:lvl>
    <w:lvl w:ilvl="3">
      <w:start w:val="1"/>
      <w:numFmt w:val="decimal"/>
      <w:lvlJc w:val="left"/>
      <w:lvlText w:val="%4"/>
      <w:pPr>
        <w:ind w:hanging="360" w:left="1800"/>
      </w:pPr>
    </w:lvl>
    <w:lvl w:ilvl="4">
      <w:start w:val="1"/>
      <w:numFmt w:val="decimal"/>
      <w:lvlJc w:val="left"/>
      <w:lvlText w:val="%5"/>
      <w:pPr>
        <w:ind w:hanging="360" w:left="2160"/>
      </w:pPr>
    </w:lvl>
    <w:lvl w:ilvl="5">
      <w:start w:val="1"/>
      <w:numFmt w:val="decimal"/>
      <w:lvlJc w:val="left"/>
      <w:lvlText w:val="%6"/>
      <w:pPr>
        <w:ind w:hanging="360" w:left="2520"/>
      </w:pPr>
    </w:lvl>
    <w:lvl w:ilvl="6">
      <w:start w:val="1"/>
      <w:numFmt w:val="decimal"/>
      <w:lvlJc w:val="left"/>
      <w:lvlText w:val="%7"/>
      <w:pPr>
        <w:ind w:hanging="360" w:left="2880"/>
      </w:pPr>
    </w:lvl>
    <w:lvl w:ilvl="7">
      <w:start w:val="1"/>
      <w:numFmt w:val="decimal"/>
      <w:lvlJc w:val="left"/>
      <w:lvlText w:val="%8"/>
      <w:pPr>
        <w:ind w:hanging="360" w:left="3240"/>
      </w:pPr>
    </w:lvl>
    <w:lvl w:ilvl="8">
      <w:start w:val="1"/>
      <w:numFmt w:val="decimal"/>
      <w:lvlJc w:val="left"/>
      <w:lvlText w:val="%9"/>
      <w:pPr>
        <w:ind w:hanging="360" w:left="3600"/>
      </w:pPr>
    </w:lvl>
  </w:abstractNum>
  <w:abstractNum w:abstractNumId="2">
    <w:lvl w:ilvl="0">
      <w:start w:val="1"/>
      <w:numFmt w:val="decimal"/>
      <w:lvlJc w:val="left"/>
      <w:lvlText w:val="%1"/>
      <w:pPr>
        <w:ind w:hanging="360" w:left="720"/>
      </w:pPr>
    </w:lvl>
    <w:lvl w:ilvl="1">
      <w:start w:val="1"/>
      <w:numFmt w:val="decimal"/>
      <w:lvlJc w:val="left"/>
      <w:lvlText w:val="%2"/>
      <w:pPr>
        <w:ind w:hanging="360" w:left="1080"/>
      </w:pPr>
    </w:lvl>
    <w:lvl w:ilvl="2">
      <w:start w:val="1"/>
      <w:numFmt w:val="decimal"/>
      <w:lvlJc w:val="left"/>
      <w:lvlText w:val="%3"/>
      <w:pPr>
        <w:ind w:hanging="360" w:left="1440"/>
      </w:pPr>
    </w:lvl>
    <w:lvl w:ilvl="3">
      <w:start w:val="1"/>
      <w:numFmt w:val="decimal"/>
      <w:lvlJc w:val="left"/>
      <w:lvlText w:val="%4"/>
      <w:pPr>
        <w:ind w:hanging="360" w:left="1800"/>
      </w:pPr>
    </w:lvl>
    <w:lvl w:ilvl="4">
      <w:start w:val="1"/>
      <w:numFmt w:val="decimal"/>
      <w:lvlJc w:val="left"/>
      <w:lvlText w:val="%5"/>
      <w:pPr>
        <w:ind w:hanging="360" w:left="2160"/>
      </w:pPr>
    </w:lvl>
    <w:lvl w:ilvl="5">
      <w:start w:val="1"/>
      <w:numFmt w:val="decimal"/>
      <w:lvlJc w:val="left"/>
      <w:lvlText w:val="%6"/>
      <w:pPr>
        <w:ind w:hanging="360" w:left="2520"/>
      </w:pPr>
    </w:lvl>
    <w:lvl w:ilvl="6">
      <w:start w:val="1"/>
      <w:numFmt w:val="decimal"/>
      <w:lvlJc w:val="left"/>
      <w:lvlText w:val="%7"/>
      <w:pPr>
        <w:ind w:hanging="360" w:left="2880"/>
      </w:pPr>
    </w:lvl>
    <w:lvl w:ilvl="7">
      <w:start w:val="1"/>
      <w:numFmt w:val="decimal"/>
      <w:lvlJc w:val="left"/>
      <w:lvlText w:val="%8"/>
      <w:pPr>
        <w:ind w:hanging="360" w:left="3240"/>
      </w:pPr>
    </w:lvl>
    <w:lvl w:ilvl="8">
      <w:start w:val="1"/>
      <w:numFmt w:val="decimal"/>
      <w:lvlJc w:val="left"/>
      <w:lvlText w:val="%9"/>
      <w:pPr>
        <w:ind w:hanging="360" w:left="3600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Alapértelmezett"/>
    <w:next w:val="style0"/>
    <w:pPr>
      <w:jc w:val="left"/>
      <w:widowControl/>
      <w:suppressAutoHyphens w:val="true"/>
      <w:tabs>
        <w:tab w:leader="none" w:pos="709" w:val="left"/>
      </w:tabs>
      <w:spacing w:after="0" w:before="0" w:line="200" w:lineRule="atLeast"/>
    </w:pPr>
    <w:rPr>
      <w:color w:val="auto"/>
      <w:sz w:val="20"/>
      <w:szCs w:val="20"/>
      <w:rFonts w:ascii="Times New Roman" w:cs="Times New Roman" w:eastAsia="Times New Roman" w:hAnsi="Times New Roman"/>
      <w:lang w:bidi="ar-SA" w:eastAsia="ar-SA" w:val="hu-HU"/>
    </w:rPr>
  </w:style>
  <w:style w:styleId="style1" w:type="paragraph">
    <w:name w:val="Címsor 1"/>
    <w:basedOn w:val="style0"/>
    <w:next w:val="style18"/>
    <w:pPr>
      <w:jc w:val="center"/>
      <w:keepNext/>
    </w:pPr>
    <w:rPr>
      <w:sz w:val="24"/>
      <w:b/>
      <w:szCs w:val="24"/>
      <w:bCs/>
      <w:rFonts w:ascii="Arial" w:cs="Arial" w:hAnsi="Arial"/>
    </w:rPr>
  </w:style>
  <w:style w:styleId="style15" w:type="character">
    <w:name w:val="Default Paragraph Font"/>
    <w:next w:val="style15"/>
    <w:rPr/>
  </w:style>
  <w:style w:styleId="style16" w:type="character">
    <w:name w:val="Címsor 1 Char"/>
    <w:basedOn w:val="style15"/>
    <w:next w:val="style16"/>
    <w:rPr/>
  </w:style>
  <w:style w:styleId="style17" w:type="paragraph">
    <w:name w:val="Címsor"/>
    <w:basedOn w:val="style0"/>
    <w:next w:val="style18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18" w:type="paragraph">
    <w:name w:val="Szövegtörzs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>
      <w:rFonts w:cs="Tahoma"/>
    </w:rPr>
  </w:style>
  <w:style w:styleId="style20" w:type="paragraph">
    <w:name w:val="Felirat"/>
    <w:basedOn w:val="style0"/>
    <w:next w:val="style20"/>
    <w:pPr>
      <w:suppressLineNumbers/>
      <w:spacing w:after="120" w:before="120"/>
    </w:pPr>
    <w:rPr>
      <w:sz w:val="24"/>
      <w:i/>
      <w:szCs w:val="24"/>
      <w:iCs/>
      <w:rFonts w:cs="Tahoma"/>
    </w:rPr>
  </w:style>
  <w:style w:styleId="style21" w:type="paragraph">
    <w:name w:val="Tárgymutató"/>
    <w:basedOn w:val="style0"/>
    <w:next w:val="style21"/>
    <w:pPr>
      <w:suppressLineNumbers/>
    </w:pPr>
    <w:rPr>
      <w:rFonts w:cs="Tahoma"/>
    </w:rPr>
  </w:style>
  <w:style w:styleId="style22" w:type="paragraph">
    <w:name w:val="Bekezdés"/>
    <w:basedOn w:val="style0"/>
    <w:next w:val="style2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2011-10-12T11:57:00.00Z</dcterms:created>
  <dc:creator>Szabó Judit</dc:creator>
  <cp:lastModifiedBy>Dr. Molnár Zsuzsanna</cp:lastModifiedBy>
  <cp:lastPrinted>2012-03-01T15:45:00.00Z</cp:lastPrinted>
  <dcterms:modified xsi:type="dcterms:W3CDTF">2012-03-02T10:35:00.00Z</dcterms:modified>
  <cp:revision>31</cp:revision>
</cp:coreProperties>
</file>