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E43F" w14:textId="77777777" w:rsidR="004C3E88" w:rsidRPr="00F23235" w:rsidRDefault="001E17F0" w:rsidP="00F23235">
      <w:pPr>
        <w:pStyle w:val="Szvegtrzs1"/>
        <w:spacing w:after="0"/>
        <w:jc w:val="center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  <w:b/>
          <w:bCs/>
          <w:u w:val="single"/>
        </w:rPr>
        <w:t>A bírósági ülnökök jogai és kötelezettségei</w:t>
      </w:r>
    </w:p>
    <w:p w14:paraId="39B9D0CF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Magyarország Alaptörvénye ​</w:t>
      </w:r>
    </w:p>
    <w:p w14:paraId="1E1D8FC7" w14:textId="6556459F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27. cikk ​</w:t>
      </w:r>
    </w:p>
    <w:p w14:paraId="77A9FB82" w14:textId="6F2181C0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(2) Törvény által meghatározott ügyekben és módon nem hivatásos </w:t>
      </w:r>
      <w:proofErr w:type="spellStart"/>
      <w:r w:rsidRPr="00F23235">
        <w:rPr>
          <w:rStyle w:val="Szvegtrzs"/>
          <w:rFonts w:ascii="Calibri" w:hAnsi="Calibri" w:cs="Calibri"/>
        </w:rPr>
        <w:t>bírák</w:t>
      </w:r>
      <w:proofErr w:type="spellEnd"/>
      <w:r w:rsidRPr="00F23235">
        <w:rPr>
          <w:rStyle w:val="Szvegtrzs"/>
          <w:rFonts w:ascii="Calibri" w:hAnsi="Calibri" w:cs="Calibri"/>
        </w:rPr>
        <w:t xml:space="preserve"> is részt vesznek az ítélkezésben.</w:t>
      </w:r>
    </w:p>
    <w:p w14:paraId="7C5C18E2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</w:p>
    <w:p w14:paraId="33F2EBDE" w14:textId="2D2DAD46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2017. évi XC. törvény a büntetőeljárásról </w:t>
      </w:r>
    </w:p>
    <w:p w14:paraId="4735311C" w14:textId="2D0924A3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680. § (2) </w:t>
      </w:r>
      <w:r w:rsidRPr="00F23235">
        <w:rPr>
          <w:rStyle w:val="Szvegtrzs"/>
          <w:rFonts w:ascii="Calibri" w:hAnsi="Calibri" w:cs="Calibri"/>
          <w:highlight w:val="yellow"/>
        </w:rPr>
        <w:t>A fiatalkorú elleni büntetőeljárásban</w:t>
      </w:r>
      <w:r w:rsidRPr="00F23235">
        <w:rPr>
          <w:rStyle w:val="Szvegtrzs"/>
          <w:rFonts w:ascii="Calibri" w:hAnsi="Calibri" w:cs="Calibri"/>
        </w:rPr>
        <w:t xml:space="preserve"> az elsőfokú bíróság tanácsa egy hivatásos bíróból és két ülnökből áll.</w:t>
      </w:r>
    </w:p>
    <w:p w14:paraId="5EA9E9DE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(5) A fiatalkorú elleni büntetőeljárásban ülnökként kizárólag</w:t>
      </w:r>
    </w:p>
    <w:p w14:paraId="377DDCAA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a) pedagógus,</w:t>
      </w:r>
    </w:p>
    <w:p w14:paraId="728738A0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b) pszichológus, vagy</w:t>
      </w:r>
    </w:p>
    <w:p w14:paraId="48944E48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c) a család-, gyermek- és ifjúságvédelmi szolgáltatás, gyámügyi igazgatás keretében az ellátottak gyógyítását, ápolását, foglalkoztatását, fejlesztését, ellátását, nevelését, gondozását vagy szociális segítését, a gyermek sorsának rendezését közvetlenül szolgáló, egyetemi vagy főiskolai végzettséghez kötött munkakörben dolgozó vagy korábban dolgozó személy</w:t>
      </w:r>
    </w:p>
    <w:p w14:paraId="7C8BF93E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vehet részt.</w:t>
      </w:r>
    </w:p>
    <w:p w14:paraId="2E1F6938" w14:textId="20E5BE9B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(6) Az ítélkezés során a hivatásos bíró és az ülnök jogai és kötelességei azonosak. A bíró kizárására vonatkozó rendelkezések az ülnökre is irányadók.</w:t>
      </w:r>
    </w:p>
    <w:p w14:paraId="57954F17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</w:p>
    <w:p w14:paraId="7A24097D" w14:textId="174037D3" w:rsidR="00F23235" w:rsidRPr="00F23235" w:rsidRDefault="00F23235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2016. évi CXXX. törvény a polgári perrendtartásról</w:t>
      </w:r>
    </w:p>
    <w:p w14:paraId="538CF0CD" w14:textId="77777777" w:rsidR="00F23235" w:rsidRPr="00F23235" w:rsidRDefault="00F23235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510. § [A munkaügyi perben eljáró bíróságok összetétele] ​ ​ </w:t>
      </w:r>
    </w:p>
    <w:p w14:paraId="4C882AD1" w14:textId="60FED3FE" w:rsidR="00834E6A" w:rsidRPr="00F23235" w:rsidRDefault="00F23235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  <w:highlight w:val="yellow"/>
        </w:rPr>
        <w:t>Munkaügyi perben</w:t>
      </w:r>
      <w:r w:rsidRPr="00F23235">
        <w:rPr>
          <w:rStyle w:val="Szvegtrzs"/>
          <w:rFonts w:ascii="Calibri" w:hAnsi="Calibri" w:cs="Calibri"/>
        </w:rPr>
        <w:t xml:space="preserve"> az elsőfokú bíróság – törvény eltérő rendelkezése hiányában – ülnökök közreműködésével jár el.</w:t>
      </w:r>
    </w:p>
    <w:p w14:paraId="1C223D68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</w:p>
    <w:p w14:paraId="2A68FB1A" w14:textId="77777777" w:rsidR="00F23235" w:rsidRDefault="001E17F0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  <w:highlight w:val="yellow"/>
        </w:rPr>
        <w:t>Az ülnökökre vonatkozó legfontosabb rendelkezéseket a bíróságok szervezetéről és igazgatásáról szóló 2011. évi CLXI. törvény (</w:t>
      </w:r>
      <w:proofErr w:type="spellStart"/>
      <w:r w:rsidRPr="00F23235">
        <w:rPr>
          <w:rStyle w:val="Szvegtrzs"/>
          <w:rFonts w:ascii="Calibri" w:hAnsi="Calibri" w:cs="Calibri"/>
          <w:highlight w:val="yellow"/>
        </w:rPr>
        <w:t>Bszi</w:t>
      </w:r>
      <w:proofErr w:type="spellEnd"/>
      <w:r w:rsidRPr="00F23235">
        <w:rPr>
          <w:rStyle w:val="Szvegtrzs"/>
          <w:rFonts w:ascii="Calibri" w:hAnsi="Calibri" w:cs="Calibri"/>
          <w:highlight w:val="yellow"/>
        </w:rPr>
        <w:t xml:space="preserve">.) és a </w:t>
      </w:r>
      <w:proofErr w:type="spellStart"/>
      <w:r w:rsidRPr="00F23235">
        <w:rPr>
          <w:rStyle w:val="Szvegtrzs"/>
          <w:rFonts w:ascii="Calibri" w:hAnsi="Calibri" w:cs="Calibri"/>
          <w:highlight w:val="yellow"/>
        </w:rPr>
        <w:t>bírák</w:t>
      </w:r>
      <w:proofErr w:type="spellEnd"/>
      <w:r w:rsidRPr="00F23235">
        <w:rPr>
          <w:rStyle w:val="Szvegtrzs"/>
          <w:rFonts w:ascii="Calibri" w:hAnsi="Calibri" w:cs="Calibri"/>
          <w:highlight w:val="yellow"/>
        </w:rPr>
        <w:t xml:space="preserve"> jogállásáról és javadalmazásáról szóló 2011. évi CLXII. törvény (</w:t>
      </w:r>
      <w:proofErr w:type="spellStart"/>
      <w:r w:rsidRPr="00F23235">
        <w:rPr>
          <w:rStyle w:val="Szvegtrzs"/>
          <w:rFonts w:ascii="Calibri" w:hAnsi="Calibri" w:cs="Calibri"/>
          <w:highlight w:val="yellow"/>
        </w:rPr>
        <w:t>Bjt</w:t>
      </w:r>
      <w:proofErr w:type="spellEnd"/>
      <w:r w:rsidRPr="00F23235">
        <w:rPr>
          <w:rStyle w:val="Szvegtrzs"/>
          <w:rFonts w:ascii="Calibri" w:hAnsi="Calibri" w:cs="Calibri"/>
          <w:highlight w:val="yellow"/>
        </w:rPr>
        <w:t>.) tartalmazza.</w:t>
      </w:r>
    </w:p>
    <w:p w14:paraId="6AB30DD0" w14:textId="77777777" w:rsidR="00F23235" w:rsidRPr="00F23235" w:rsidRDefault="00F23235" w:rsidP="00F23235">
      <w:pPr>
        <w:pStyle w:val="Szvegtrzs1"/>
        <w:spacing w:after="0"/>
        <w:jc w:val="both"/>
        <w:rPr>
          <w:rFonts w:ascii="Calibri" w:hAnsi="Calibri" w:cs="Calibri"/>
        </w:rPr>
      </w:pPr>
    </w:p>
    <w:p w14:paraId="26BBC44B" w14:textId="77777777" w:rsidR="00F23235" w:rsidRPr="00F23235" w:rsidRDefault="00F23235" w:rsidP="00F23235">
      <w:pPr>
        <w:widowControl/>
        <w:shd w:val="clear" w:color="auto" w:fill="FFFFFF"/>
        <w:spacing w:line="330" w:lineRule="atLeast"/>
        <w:jc w:val="both"/>
        <w:rPr>
          <w:rFonts w:ascii="Calibri" w:eastAsia="Times New Roman" w:hAnsi="Calibri" w:cs="Calibri"/>
          <w:sz w:val="22"/>
          <w:szCs w:val="22"/>
        </w:rPr>
      </w:pPr>
      <w:r w:rsidRPr="00F23235">
        <w:rPr>
          <w:rFonts w:ascii="Calibri" w:eastAsia="Times New Roman" w:hAnsi="Calibri" w:cs="Calibri"/>
          <w:sz w:val="22"/>
          <w:szCs w:val="22"/>
        </w:rPr>
        <w:t xml:space="preserve">A bírósági tárgyalások során az ítélkezésben az ülnökök a tárgyalást vezető hivatásos bíróval azonos jogokkal bírnak, és azonos kötelezettségek terhelik őket. Az ülnökök – akárcsak a hivatásos </w:t>
      </w:r>
      <w:proofErr w:type="spellStart"/>
      <w:r w:rsidRPr="00F23235">
        <w:rPr>
          <w:rFonts w:ascii="Calibri" w:eastAsia="Times New Roman" w:hAnsi="Calibri" w:cs="Calibri"/>
          <w:sz w:val="22"/>
          <w:szCs w:val="22"/>
        </w:rPr>
        <w:t>bírák</w:t>
      </w:r>
      <w:proofErr w:type="spellEnd"/>
      <w:r w:rsidRPr="00F23235">
        <w:rPr>
          <w:rFonts w:ascii="Calibri" w:eastAsia="Times New Roman" w:hAnsi="Calibri" w:cs="Calibri"/>
          <w:sz w:val="22"/>
          <w:szCs w:val="22"/>
        </w:rPr>
        <w:t xml:space="preserve"> – függetlenek, ítélkezési tevékenységük során nem befolyásolhatóak és nem adható számukra utasítás sem. Döntésüket a jogszabályok figyelembevételével saját belső meggyőződésük alapján hozzák meg.</w:t>
      </w:r>
    </w:p>
    <w:p w14:paraId="0C6643D2" w14:textId="77777777" w:rsidR="00F23235" w:rsidRPr="00F23235" w:rsidRDefault="00F23235" w:rsidP="00F23235">
      <w:pPr>
        <w:widowControl/>
        <w:shd w:val="clear" w:color="auto" w:fill="FFFFFF"/>
        <w:spacing w:line="330" w:lineRule="atLeast"/>
        <w:jc w:val="both"/>
        <w:rPr>
          <w:rFonts w:ascii="Calibri" w:eastAsia="Times New Roman" w:hAnsi="Calibri" w:cs="Calibri"/>
          <w:sz w:val="22"/>
          <w:szCs w:val="22"/>
        </w:rPr>
      </w:pPr>
      <w:r w:rsidRPr="00F23235">
        <w:rPr>
          <w:rFonts w:ascii="Calibri" w:eastAsia="Times New Roman" w:hAnsi="Calibri" w:cs="Calibri"/>
          <w:sz w:val="22"/>
          <w:szCs w:val="22"/>
        </w:rPr>
        <w:t>A bíróság, ha tanácsban jár el, határozatát szavazással hozza meg. A szavazás előtt az ülnökök az eljárást vezető bírótól felvilágosítást kapnak a döntéshez szükséges jogszabályokról, arról, hogy milyen határozat hozható az ügyben, büntetőügyekben pedig tájékoztatást kapnak arról, hogy milyen büntetések és intézkedések szabhatók ki.</w:t>
      </w:r>
    </w:p>
    <w:p w14:paraId="0AABC450" w14:textId="77777777" w:rsidR="00F23235" w:rsidRPr="00F23235" w:rsidRDefault="00F23235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</w:p>
    <w:p w14:paraId="4178266A" w14:textId="468F8345" w:rsidR="004C3E88" w:rsidRDefault="001E17F0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Ülnöknek az a 30. évét betöltött magyar állampolgár választható meg, aki nem áll a cselekvőképeséget érintő gondnokság vagy támogatott döntéshozatal hatálya alatt, továbbá büntetlen előéletű és nem áll közügyektől eltiltás hatálya alatt sem. (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 xml:space="preserve">. 212. § (1) </w:t>
      </w:r>
      <w:proofErr w:type="spellStart"/>
      <w:r w:rsidRPr="00F23235">
        <w:rPr>
          <w:rStyle w:val="Szvegtrzs"/>
          <w:rFonts w:ascii="Calibri" w:hAnsi="Calibri" w:cs="Calibri"/>
        </w:rPr>
        <w:t>bek</w:t>
      </w:r>
      <w:proofErr w:type="spellEnd"/>
      <w:r w:rsidRPr="00F23235">
        <w:rPr>
          <w:rStyle w:val="Szvegtrzs"/>
          <w:rFonts w:ascii="Calibri" w:hAnsi="Calibri" w:cs="Calibri"/>
        </w:rPr>
        <w:t>.)</w:t>
      </w:r>
    </w:p>
    <w:p w14:paraId="2DB87F13" w14:textId="77777777" w:rsidR="00F23235" w:rsidRPr="00F23235" w:rsidRDefault="00F23235" w:rsidP="00F23235">
      <w:pPr>
        <w:pStyle w:val="Szvegtrzs1"/>
        <w:spacing w:after="0"/>
        <w:jc w:val="both"/>
        <w:rPr>
          <w:rFonts w:ascii="Calibri" w:hAnsi="Calibri" w:cs="Calibri"/>
        </w:rPr>
      </w:pPr>
    </w:p>
    <w:p w14:paraId="39668494" w14:textId="77777777" w:rsidR="004C3E88" w:rsidRPr="00F23235" w:rsidRDefault="001E17F0" w:rsidP="00F23235">
      <w:pPr>
        <w:pStyle w:val="Szvegtrzs1"/>
        <w:spacing w:after="0" w:line="288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Az ülnököknek az ítélkezésben a hivatásos </w:t>
      </w:r>
      <w:proofErr w:type="spellStart"/>
      <w:r w:rsidRPr="00F23235">
        <w:rPr>
          <w:rStyle w:val="Szvegtrzs"/>
          <w:rFonts w:ascii="Calibri" w:hAnsi="Calibri" w:cs="Calibri"/>
        </w:rPr>
        <w:t>bírákkal</w:t>
      </w:r>
      <w:proofErr w:type="spellEnd"/>
      <w:r w:rsidRPr="00F23235">
        <w:rPr>
          <w:rStyle w:val="Szvegtrzs"/>
          <w:rFonts w:ascii="Calibri" w:hAnsi="Calibri" w:cs="Calibri"/>
        </w:rPr>
        <w:t xml:space="preserve"> azonos jogaik és kötelezettségeik vannak.</w:t>
      </w:r>
    </w:p>
    <w:p w14:paraId="2CF8F3F7" w14:textId="6DD9FAA9" w:rsidR="004C3E88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Az ülnökök megbízatása </w:t>
      </w:r>
      <w:r w:rsidR="00F23235">
        <w:rPr>
          <w:rStyle w:val="Szvegtrzs"/>
          <w:rFonts w:ascii="Calibri" w:hAnsi="Calibri" w:cs="Calibri"/>
        </w:rPr>
        <w:t xml:space="preserve">az általános választást követő </w:t>
      </w:r>
      <w:r w:rsidRPr="00F23235">
        <w:rPr>
          <w:rStyle w:val="Szvegtrzs"/>
          <w:rFonts w:ascii="Calibri" w:hAnsi="Calibri" w:cs="Calibri"/>
        </w:rPr>
        <w:t>4 évre szól.</w:t>
      </w:r>
    </w:p>
    <w:p w14:paraId="65B4082B" w14:textId="77777777" w:rsidR="004C3E88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Az ülnökök a megbízatásuk időtartama alatt nem lehetnek tagjai pártnak és politikai tevékenységet sem </w:t>
      </w:r>
      <w:r w:rsidRPr="00F23235">
        <w:rPr>
          <w:rStyle w:val="Szvegtrzs"/>
          <w:rFonts w:ascii="Calibri" w:hAnsi="Calibri" w:cs="Calibri"/>
        </w:rPr>
        <w:lastRenderedPageBreak/>
        <w:t>folytathatnak (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 xml:space="preserve">. 212. § (3) </w:t>
      </w:r>
      <w:proofErr w:type="spellStart"/>
      <w:r w:rsidRPr="00F23235">
        <w:rPr>
          <w:rStyle w:val="Szvegtrzs"/>
          <w:rFonts w:ascii="Calibri" w:hAnsi="Calibri" w:cs="Calibri"/>
        </w:rPr>
        <w:t>bek</w:t>
      </w:r>
      <w:proofErr w:type="spellEnd"/>
      <w:r w:rsidRPr="00F23235">
        <w:rPr>
          <w:rStyle w:val="Szvegtrzs"/>
          <w:rFonts w:ascii="Calibri" w:hAnsi="Calibri" w:cs="Calibri"/>
        </w:rPr>
        <w:t>.). Az országgyűlési képviselői megbízatás, az önkormányzati képviselő-testületi tagság politikai tevékenységnek tekintendő. Nem politikai tevékenység a munkavállalói – szakmai, érdekvédelmi – szervezetben való részvétel.</w:t>
      </w:r>
    </w:p>
    <w:p w14:paraId="46AA57BA" w14:textId="77777777" w:rsidR="004C3E88" w:rsidRDefault="001E17F0" w:rsidP="00F23235">
      <w:pPr>
        <w:pStyle w:val="Szvegtrzs1"/>
        <w:spacing w:after="0" w:line="283" w:lineRule="auto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Az ülnököt az igazságszolgáltatásban való részvételével összefüggő cselekménye tekintetében mentelmi jog illeti meg. A mentesség terjedelmére és az ülnök mentelmi jogának felfüggesztésére vonatkozó szabályokat a 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>. 2. § (4) és (5) bekezdése tartalmazza.</w:t>
      </w:r>
    </w:p>
    <w:p w14:paraId="21C46D07" w14:textId="77777777" w:rsidR="00D15192" w:rsidRPr="00F23235" w:rsidRDefault="00D15192" w:rsidP="00F23235">
      <w:pPr>
        <w:pStyle w:val="Szvegtrzs1"/>
        <w:spacing w:after="0" w:line="283" w:lineRule="auto"/>
        <w:jc w:val="both"/>
        <w:rPr>
          <w:rFonts w:ascii="Calibri" w:hAnsi="Calibri" w:cs="Calibri"/>
        </w:rPr>
      </w:pPr>
    </w:p>
    <w:p w14:paraId="0FF448F3" w14:textId="77777777" w:rsidR="004C3E88" w:rsidRDefault="001E17F0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 megválasztott ülnököknek bírói esküt kell tennie.</w:t>
      </w:r>
    </w:p>
    <w:p w14:paraId="3B2B3C71" w14:textId="77777777" w:rsidR="001E17F0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</w:p>
    <w:p w14:paraId="299F459B" w14:textId="77777777" w:rsidR="004C3E88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Az ülnököt a bíróság elnöke hívja be és osztja be az ítélkező tanácsba. E tisztsége gyakorlásának idejére az ülnököt a 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>. 221. § rendelkezései szerint távolléti díj, illetőleg tiszteletdíj illeti meg, amelyet a bíróságok költségvetésükből térítenek meg.</w:t>
      </w:r>
    </w:p>
    <w:p w14:paraId="5E3E0F0B" w14:textId="77777777" w:rsidR="004C3E88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 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>. 221. § (1) bekezdésben foglaltak szerint a munkaviszonyban, kormányzati szolgálati, állami szolgálati, közszolgálati, egészségügyi szolgálati vagy közalkalmazotti jogviszonyban, adó- és vámhatósági szolgálati jogviszonyban, rendvédelmi igazgatási szolgálati jogviszonyban, honvédelmi alkalmazotti jogviszonyban, a rendvédelmi feladatokat ellátó szervek hivatásos állományának szolgálati jogviszonyáról szóló törvény szerinti rendvédelmi feladatokat ellátó szerveknél és a Magyar Honvédségnél szolgálati viszonyban, vagy foglalkoztatásra irányuló más jogviszonyban (szövetkezetnél munkaviszony jellegű jogviszonyban stb.) álló ülnököt ülnöki működésének időtartamára a távolléti díja illeti meg.</w:t>
      </w:r>
    </w:p>
    <w:p w14:paraId="0DD3FAA2" w14:textId="77777777" w:rsidR="004C3E88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 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>. 221. § (1) bekezdésben meghatározott jogviszonyokban nem álló, vagy az ülnöki működése idejére munkabérben (díjazásban) nem részesülő ülnököt tiszteletdíj illeti meg. A tiszteletdíj mértéke az ülnök működésének minden napjára a bírói illetményalap (566.660 Ft) egy munkanapra eső összegének a 25 százaléka.</w:t>
      </w:r>
    </w:p>
    <w:p w14:paraId="1842BFF8" w14:textId="77777777" w:rsidR="004C3E88" w:rsidRPr="00F23235" w:rsidRDefault="001E17F0" w:rsidP="00F23235">
      <w:pPr>
        <w:pStyle w:val="Szvegtrzs1"/>
        <w:spacing w:after="0" w:line="288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 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 xml:space="preserve">. 221. § (5) bekezdése szerint az ülnök a hivatalos kiküldetésével járó költségeket a </w:t>
      </w:r>
      <w:proofErr w:type="spellStart"/>
      <w:r w:rsidRPr="00F23235">
        <w:rPr>
          <w:rStyle w:val="Szvegtrzs"/>
          <w:rFonts w:ascii="Calibri" w:hAnsi="Calibri" w:cs="Calibri"/>
        </w:rPr>
        <w:t>bírákra</w:t>
      </w:r>
      <w:proofErr w:type="spellEnd"/>
      <w:r w:rsidRPr="00F23235">
        <w:rPr>
          <w:rStyle w:val="Szvegtrzs"/>
          <w:rFonts w:ascii="Calibri" w:hAnsi="Calibri" w:cs="Calibri"/>
        </w:rPr>
        <w:t xml:space="preserve"> irányadó rendelkezések megfelelő alkalmazásával számolhatja el.</w:t>
      </w:r>
    </w:p>
    <w:p w14:paraId="53CB3986" w14:textId="77777777" w:rsidR="004C3E88" w:rsidRPr="001E17F0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Joga az ülnöknek, hogy a behívásáról legalább egy hónappal korábban értesüljön, illetve, hogy kérésére, </w:t>
      </w:r>
      <w:r w:rsidRPr="001E17F0">
        <w:rPr>
          <w:rStyle w:val="Szvegtrzs"/>
          <w:rFonts w:ascii="Calibri" w:hAnsi="Calibri" w:cs="Calibri"/>
        </w:rPr>
        <w:t>fontos okból a bíróság elnöke elhalaszthassa a működése megkezdésének időpontját.</w:t>
      </w:r>
    </w:p>
    <w:p w14:paraId="366ABEDE" w14:textId="77777777" w:rsidR="004C3E88" w:rsidRPr="001E17F0" w:rsidRDefault="001E17F0" w:rsidP="00F23235">
      <w:pPr>
        <w:pStyle w:val="Szvegtrzs1"/>
        <w:spacing w:after="0" w:line="288" w:lineRule="auto"/>
        <w:jc w:val="both"/>
        <w:rPr>
          <w:rFonts w:ascii="Calibri" w:hAnsi="Calibri" w:cs="Calibri"/>
        </w:rPr>
      </w:pPr>
      <w:r w:rsidRPr="001E17F0">
        <w:rPr>
          <w:rStyle w:val="Szvegtrzs"/>
          <w:rFonts w:ascii="Calibri" w:hAnsi="Calibri" w:cs="Calibri"/>
        </w:rPr>
        <w:t>Az ítélkező tanácshoz beosztott ülnök joga, hogy a tárgyalandó ügyek tény- és joganyagát megismerhesse, arról őt az ítélkező tanács elnöke tájékoztassa.</w:t>
      </w:r>
    </w:p>
    <w:p w14:paraId="382927C9" w14:textId="77777777" w:rsidR="004C3E88" w:rsidRDefault="001E17F0" w:rsidP="00F23235">
      <w:pPr>
        <w:pStyle w:val="Szvegtrzs1"/>
        <w:spacing w:after="0" w:line="283" w:lineRule="auto"/>
        <w:jc w:val="both"/>
        <w:rPr>
          <w:rStyle w:val="Szvegtrzs"/>
          <w:rFonts w:ascii="Calibri" w:hAnsi="Calibri" w:cs="Calibri"/>
        </w:rPr>
      </w:pPr>
      <w:r w:rsidRPr="001E17F0">
        <w:rPr>
          <w:rStyle w:val="Szvegtrzs"/>
          <w:rFonts w:ascii="Calibri" w:hAnsi="Calibri" w:cs="Calibri"/>
        </w:rPr>
        <w:t>Az ítélet meghozatalát megelőző zárt tanácskozással kapcsolatos tanácskozási titok megőrzése az ülnök számára is kötelező. Ez vonatkozik a szolgálati, illetve az államtitokra is.</w:t>
      </w:r>
    </w:p>
    <w:p w14:paraId="026ADD79" w14:textId="77777777" w:rsidR="001E17F0" w:rsidRPr="00F23235" w:rsidRDefault="001E17F0" w:rsidP="00F23235">
      <w:pPr>
        <w:pStyle w:val="Szvegtrzs1"/>
        <w:spacing w:after="0" w:line="283" w:lineRule="auto"/>
        <w:jc w:val="both"/>
        <w:rPr>
          <w:rFonts w:ascii="Calibri" w:hAnsi="Calibri" w:cs="Calibri"/>
        </w:rPr>
      </w:pPr>
    </w:p>
    <w:p w14:paraId="1DE81B65" w14:textId="77777777" w:rsidR="004C3E88" w:rsidRPr="00F23235" w:rsidRDefault="001E17F0" w:rsidP="00F23235">
      <w:pPr>
        <w:pStyle w:val="Szvegtrzs1"/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Az ülnök megbízatása megszűnik (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 xml:space="preserve">. 220. § (1) </w:t>
      </w:r>
      <w:proofErr w:type="spellStart"/>
      <w:r w:rsidRPr="00F23235">
        <w:rPr>
          <w:rStyle w:val="Szvegtrzs"/>
          <w:rFonts w:ascii="Calibri" w:hAnsi="Calibri" w:cs="Calibri"/>
        </w:rPr>
        <w:t>bek</w:t>
      </w:r>
      <w:proofErr w:type="spellEnd"/>
      <w:r w:rsidRPr="00F23235">
        <w:rPr>
          <w:rStyle w:val="Szvegtrzs"/>
          <w:rFonts w:ascii="Calibri" w:hAnsi="Calibri" w:cs="Calibri"/>
        </w:rPr>
        <w:t>.):</w:t>
      </w:r>
    </w:p>
    <w:p w14:paraId="6C6FAF35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52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az ülnök halálával,</w:t>
      </w:r>
    </w:p>
    <w:p w14:paraId="13A162F7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57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 megbízatásának lejártával,</w:t>
      </w:r>
    </w:p>
    <w:p w14:paraId="315E67FC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33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ha a 212. § (1) bekezdésében foglalt feltételek valamelyike már nem áll fenn,</w:t>
      </w:r>
    </w:p>
    <w:p w14:paraId="0DC8089D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62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 70. év betöltésével,</w:t>
      </w:r>
    </w:p>
    <w:p w14:paraId="4DFF2F40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52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lemondással (képviselő-testülethez intézett írásbeli nyilatkozatával),</w:t>
      </w:r>
    </w:p>
    <w:p w14:paraId="51C47747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09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ha a 219. § (4) bekezdésében meghatározott esetben az ülnököt megválasztó képviselő</w:t>
      </w:r>
      <w:r w:rsidRPr="00F23235">
        <w:rPr>
          <w:rStyle w:val="Szvegtrzs"/>
          <w:rFonts w:ascii="Calibri" w:hAnsi="Calibri" w:cs="Calibri"/>
        </w:rPr>
        <w:softHyphen/>
        <w:t>testület az ülnököt visszahívja.</w:t>
      </w:r>
    </w:p>
    <w:sectPr w:rsidR="004C3E88" w:rsidRPr="00F23235" w:rsidSect="00D15192">
      <w:pgSz w:w="11900" w:h="16840"/>
      <w:pgMar w:top="1134" w:right="1383" w:bottom="1134" w:left="1366" w:header="1021" w:footer="12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991A2" w14:textId="77777777" w:rsidR="00E1039D" w:rsidRDefault="00E1039D">
      <w:r>
        <w:separator/>
      </w:r>
    </w:p>
  </w:endnote>
  <w:endnote w:type="continuationSeparator" w:id="0">
    <w:p w14:paraId="49448DAB" w14:textId="77777777" w:rsidR="00E1039D" w:rsidRDefault="00E1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665F" w14:textId="77777777" w:rsidR="00E1039D" w:rsidRDefault="00E1039D"/>
  </w:footnote>
  <w:footnote w:type="continuationSeparator" w:id="0">
    <w:p w14:paraId="24D6995F" w14:textId="77777777" w:rsidR="00E1039D" w:rsidRDefault="00E103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40520"/>
    <w:multiLevelType w:val="multilevel"/>
    <w:tmpl w:val="84E6E446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hu-HU" w:eastAsia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DE3482"/>
    <w:multiLevelType w:val="multilevel"/>
    <w:tmpl w:val="47E81E1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694466">
    <w:abstractNumId w:val="0"/>
  </w:num>
  <w:num w:numId="2" w16cid:durableId="1999962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88"/>
    <w:rsid w:val="001E17F0"/>
    <w:rsid w:val="004C3E88"/>
    <w:rsid w:val="00834E6A"/>
    <w:rsid w:val="00CA4041"/>
    <w:rsid w:val="00D15192"/>
    <w:rsid w:val="00D55D08"/>
    <w:rsid w:val="00E1039D"/>
    <w:rsid w:val="00F2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3994"/>
  <w15:docId w15:val="{7F030103-49AE-4EFE-98F9-74E2537B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pacing w:after="280" w:line="28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Antal Dr. [OBH]</dc:creator>
  <cp:keywords/>
  <cp:lastModifiedBy>Takács Mária</cp:lastModifiedBy>
  <cp:revision>2</cp:revision>
  <dcterms:created xsi:type="dcterms:W3CDTF">2026-03-31T10:09:00Z</dcterms:created>
  <dcterms:modified xsi:type="dcterms:W3CDTF">2026-03-31T10:09:00Z</dcterms:modified>
</cp:coreProperties>
</file>